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drawing>
          <wp:anchor behindDoc="0" distT="0" distB="0" distL="114300" distR="114300" simplePos="0" locked="0" layoutInCell="0" allowOverlap="1" relativeHeight="2">
            <wp:simplePos x="0" y="0"/>
            <wp:positionH relativeFrom="column">
              <wp:posOffset>2828290</wp:posOffset>
            </wp:positionH>
            <wp:positionV relativeFrom="paragraph">
              <wp:posOffset>-386715</wp:posOffset>
            </wp:positionV>
            <wp:extent cx="457200" cy="574040"/>
            <wp:effectExtent l="0" t="0" r="0" b="0"/>
            <wp:wrapSquare wrapText="right"/>
            <wp:docPr id="1" name="Рисунок 1" descr="smoll_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smoll_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4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br w:type="textWrapping" w:clear="all"/>
      </w:r>
      <w:r>
        <w:rPr>
          <w:rFonts w:ascii="Times New Roman" w:hAnsi="Times New Roman"/>
          <w:b/>
          <w:sz w:val="28"/>
          <w:szCs w:val="28"/>
        </w:rPr>
        <w:t>Совет муниципального образования муниципальный округ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 Горячий Ключ Краснодарского края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восьмой созыв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 Е Ш Е Н И Е 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от ______________2026 года                                                                       №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 Горячий Ключ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right="-1" w:hanging="0"/>
        <w:jc w:val="center"/>
        <w:outlineLvl w:val="0"/>
        <w:rPr>
          <w:rFonts w:ascii="Times New Roman" w:hAnsi="Times New Roman" w:eastAsia="Times New Roman" w:cs="Times New Roman"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О налоге на имущество физических лиц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соответствии с Федеральным законом от 20 марта 2025 г. № 33-ФЗ «Об общих принципах организации местного самоуправления в единой системе публичной власти», главой 32 Налогового кодекса Российской Федерации «Налог на имущество физических лиц», федеральным законом от 28 ноября 2025 г. № 425-ФЗ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Федерации» Совет муниципального образования муниципальный округ город Горячий Ключ Краснодарского края РЕШИЛ: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>1. Установить на территории муниципального образования муниципальный округ город Горячий Ключ Краснодарского края налог на имущество физических лиц.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 xml:space="preserve">2.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Установить налоговые ставки налога на имущество физических лиц исходя из кадастровой стоимости объектов налогообложения в следующих размерах:</w:t>
      </w:r>
    </w:p>
    <w:tbl>
      <w:tblPr>
        <w:tblW w:w="951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5"/>
        <w:gridCol w:w="6706"/>
        <w:gridCol w:w="1968"/>
      </w:tblGrid>
      <w:tr>
        <w:trPr/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Вид объекта налогообложения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Ставка налога, %</w:t>
            </w:r>
          </w:p>
        </w:tc>
      </w:tr>
      <w:tr>
        <w:trPr/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1. Жилые дома, части жилых домов, квартиры, части квартир, комнаты;</w:t>
            </w:r>
          </w:p>
        </w:tc>
        <w:tc>
          <w:tcPr>
            <w:tcW w:w="1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0,2 процента</w:t>
            </w:r>
          </w:p>
        </w:tc>
      </w:tr>
      <w:tr>
        <w:trPr/>
        <w:tc>
          <w:tcPr>
            <w:tcW w:w="8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2.Объекты незавершенного строительства в случае, если проектируемым назначением таких объектов является жилой дом;</w:t>
            </w:r>
          </w:p>
        </w:tc>
        <w:tc>
          <w:tcPr>
            <w:tcW w:w="19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8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3.Единые недвижимые комплексы, в состав которых входит хотя бы один жилой дом;</w:t>
            </w:r>
          </w:p>
        </w:tc>
        <w:tc>
          <w:tcPr>
            <w:tcW w:w="19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8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4. Гаражи и машино-места, в том числе расположенные в объектах налогообложения,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включённых в перечень, определяемый в соответствии с пунктом 7 статьи 378.2, абзацем вторым пункта 10 статьи 378.2 Налогового кодекса Российской Федерации;</w:t>
            </w:r>
          </w:p>
        </w:tc>
        <w:tc>
          <w:tcPr>
            <w:tcW w:w="19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8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5. 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строительства.</w:t>
            </w:r>
          </w:p>
        </w:tc>
        <w:tc>
          <w:tcPr>
            <w:tcW w:w="19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>
          <w:trHeight w:val="372" w:hRule="atLeast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Объекты налогообложения, включенные в перечень, определяемый в соответствии с пунктом 7 и предусмотренные абзацем вторым пункта 10 статьи 378.2 Налогового кодекса Российской Федерации.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2,0 процента</w:t>
            </w:r>
          </w:p>
        </w:tc>
      </w:tr>
      <w:tr>
        <w:trPr/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Объекты налогообложения, кадастровая стоимость каждого из которых превышает 300 миллионов рублей, за исключением объектов незавершенного строительства, проектируемым назначением которых является многоквартирный дом.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2,5 процента</w:t>
            </w:r>
          </w:p>
        </w:tc>
      </w:tr>
      <w:tr>
        <w:trPr/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Прочие объекты налогообложения.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red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0,5 процента</w:t>
            </w:r>
          </w:p>
        </w:tc>
      </w:tr>
    </w:tbl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3. Освободить от уплаты налога на имущество физических лиц следующую категорию налогоплательщиков: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-физических лиц, имеющих трех и более детей до достижения старшим ребенком возраста 18 лет или возраста 23 лет при условии его обучения в организации, осуществляющей образовательную деятельность, по очной форме обучения.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Налоговая льгота, предусмотренная настоящим пунктом, предоставляется в отношении одного объекта налогообложения каждого вида (квартира, часть квартиры, комната, жилой дом, часть жилого дома).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Налоговая льгота применяется по основаниям и в порядке, установленном статьей 407 Налогового кодекса Российской Федерации, в том числе в случае непредставления в налоговый орган соответствующего заявления, уведомления.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3.1 Налоговая льгота не предоставляется физическим лицам, имеющим трех и более детей до достижения старшим ребенком возраста 18 лет или возраста 23 лет при условии его обучения в организации, осуществляющей образовательную деятельность, по очной форме обучения в отношении любых видов объектов налогообложения, кадастровая стоимость каждого из которых превышает 300 миллионов рублей, за исключением объектов незавершенного строительства, проектируемым назначением которых является многоквартирный дом.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4. Со дня вступления в силу настоящего решения признать утратившими силу: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решение Совета муниципального образования город Горячий Ключ от 25 октября 2024 года № 383 «О налоге на имущество физических лиц»;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решение Совета муниципального образования муниципальный округ город Горячий Ключ Краснодарского края от 31 марта 2026 года № 56 «О внесении изменений в решение Совета муниципального образования город Горячий Ключ от 25 октября 2024 года № 383 «О налоге на имущество физических лиц».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5. Отделу информационной политики и средств массовой информации администрации муниципального образования муниципальный округ город Горячий Ключ Краснодарского края (Севрюк А.В.) обеспечить официальное опубликование настоящего решения в соответствии с действующим законодательством.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6. Настоящее решение вступает в силу по истечении месяца со дня его официального опубликования, но не ранее 1 января 2027 года.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Style14"/>
        <w:spacing w:before="0" w:after="0"/>
        <w:ind w:right="98" w:hanging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Style14"/>
        <w:spacing w:before="0" w:after="0"/>
        <w:ind w:right="98" w:hanging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Arial"/>
          <w:bCs/>
          <w:sz w:val="28"/>
          <w:szCs w:val="28"/>
          <w:lang w:eastAsia="ru-RU"/>
        </w:rPr>
      </w:pPr>
      <w:r>
        <w:rPr>
          <w:rFonts w:eastAsia="Times New Roman" w:cs="Arial" w:ascii="Times New Roman" w:hAnsi="Times New Roman"/>
          <w:bCs/>
          <w:sz w:val="28"/>
          <w:szCs w:val="28"/>
          <w:lang w:eastAsia="ru-RU"/>
        </w:rPr>
        <w:t xml:space="preserve">Глава города Горячий Ключ                                Председатель Совета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Arial"/>
          <w:bCs/>
          <w:sz w:val="28"/>
          <w:szCs w:val="28"/>
          <w:lang w:eastAsia="ru-RU"/>
        </w:rPr>
      </w:pPr>
      <w:r>
        <w:rPr>
          <w:rFonts w:eastAsia="Times New Roman" w:cs="Arial" w:ascii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           </w:t>
      </w:r>
      <w:r>
        <w:rPr>
          <w:rFonts w:eastAsia="Times New Roman" w:cs="Arial" w:ascii="Times New Roman" w:hAnsi="Times New Roman"/>
          <w:bCs/>
          <w:sz w:val="28"/>
          <w:szCs w:val="28"/>
          <w:lang w:eastAsia="ru-RU"/>
        </w:rPr>
        <w:t>г. Горячий Ключ</w:t>
      </w:r>
      <w:r>
        <w:rPr>
          <w:rFonts w:eastAsia="Calibri" w:cs="Times New Roman" w:ascii="Times New Roman" w:hAnsi="Times New Roman"/>
          <w:sz w:val="28"/>
          <w:szCs w:val="28"/>
        </w:rPr>
        <w:t xml:space="preserve"> </w:t>
      </w:r>
      <w:r>
        <w:rPr>
          <w:rFonts w:eastAsia="Times New Roman" w:cs="Arial" w:ascii="Times New Roman" w:hAnsi="Times New Roman"/>
          <w:bCs/>
          <w:sz w:val="28"/>
          <w:szCs w:val="28"/>
          <w:lang w:eastAsia="ru-RU"/>
        </w:rPr>
        <w:tab/>
        <w:tab/>
        <w:tab/>
        <w:tab/>
        <w:tab/>
        <w:tab/>
        <w:tab/>
        <w:tab/>
        <w:t xml:space="preserve"> </w:t>
        <w:tab/>
        <w:tab/>
        <w:tab/>
        <w:t xml:space="preserve">                      </w:t>
        <w:tab/>
      </w:r>
    </w:p>
    <w:p>
      <w:pPr>
        <w:pStyle w:val="Style14"/>
        <w:spacing w:before="0" w:after="0"/>
        <w:ind w:right="98" w:hanging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eastAsia="Times New Roman" w:cs="Arial" w:ascii="Times New Roman" w:hAnsi="Times New Roman"/>
          <w:bCs/>
          <w:sz w:val="28"/>
          <w:szCs w:val="28"/>
          <w:lang w:eastAsia="ru-RU"/>
        </w:rPr>
        <w:t xml:space="preserve">______________С.В. Белопольский      </w:t>
        <w:tab/>
        <w:tab/>
      </w:r>
      <w:r>
        <w:rPr>
          <w:rFonts w:ascii="Times New Roman" w:hAnsi="Times New Roman"/>
          <w:sz w:val="28"/>
          <w:szCs w:val="28"/>
        </w:rPr>
        <w:t>____________ Д.Ю. Фомины</w:t>
      </w:r>
    </w:p>
    <w:sectPr>
      <w:headerReference w:type="default" r:id="rId3"/>
      <w:type w:val="nextPage"/>
      <w:pgSz w:w="11906" w:h="16838"/>
      <w:pgMar w:left="1701" w:right="567" w:gutter="0" w:header="284" w:top="1135" w:footer="0" w:bottom="851"/>
      <w:pgNumType w:fmt="decimal"/>
      <w:formProt w:val="false"/>
      <w:titlePg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75601475"/>
    </w:sdtPr>
    <w:sdtContent>
      <w:p>
        <w:pPr>
          <w:pStyle w:val="Style19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Style19"/>
      <w:jc w:val="center"/>
      <w:rPr>
        <w:sz w:val="24"/>
        <w:szCs w:val="24"/>
      </w:rPr>
    </w:pPr>
    <w:r>
      <w:rPr>
        <w:sz w:val="24"/>
        <w:szCs w:val="24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253cd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qFormat/>
    <w:rsid w:val="00496105"/>
    <w:pPr>
      <w:keepNext w:val="true"/>
      <w:spacing w:lineRule="auto" w:line="348" w:before="0" w:after="0"/>
      <w:jc w:val="both"/>
      <w:outlineLvl w:val="0"/>
    </w:pPr>
    <w:rPr>
      <w:rFonts w:ascii="Times New Roman" w:hAnsi="Times New Roman" w:eastAsia="Times New Roman" w:cs="Times New Roman"/>
      <w:sz w:val="28"/>
      <w:szCs w:val="20"/>
    </w:rPr>
  </w:style>
  <w:style w:type="paragraph" w:styleId="2">
    <w:name w:val="Heading 2"/>
    <w:basedOn w:val="Normal"/>
    <w:next w:val="Normal"/>
    <w:link w:val="21"/>
    <w:qFormat/>
    <w:rsid w:val="00496105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Times New Roman" w:cs="Times New Roman"/>
      <w:b/>
      <w:bCs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496105"/>
    <w:rPr>
      <w:rFonts w:ascii="Times New Roman" w:hAnsi="Times New Roman" w:eastAsia="Times New Roman" w:cs="Times New Roman"/>
      <w:sz w:val="28"/>
      <w:szCs w:val="20"/>
    </w:rPr>
  </w:style>
  <w:style w:type="character" w:styleId="21" w:customStyle="1">
    <w:name w:val="Заголовок 2 Знак"/>
    <w:basedOn w:val="DefaultParagraphFont"/>
    <w:qFormat/>
    <w:rsid w:val="00496105"/>
    <w:rPr>
      <w:rFonts w:ascii="Times New Roman" w:hAnsi="Times New Roman" w:eastAsia="Times New Roman" w:cs="Times New Roman"/>
      <w:b/>
      <w:bCs/>
      <w:iCs/>
      <w:sz w:val="28"/>
      <w:szCs w:val="28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0e4511"/>
    <w:rPr>
      <w:rFonts w:ascii="Tahoma" w:hAnsi="Tahoma" w:cs="Tahoma"/>
      <w:sz w:val="16"/>
      <w:szCs w:val="16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ec0981"/>
    <w:rPr/>
  </w:style>
  <w:style w:type="character" w:styleId="Style9" w:customStyle="1">
    <w:name w:val="Нижний колонтитул Знак"/>
    <w:basedOn w:val="DefaultParagraphFont"/>
    <w:uiPriority w:val="99"/>
    <w:qFormat/>
    <w:rsid w:val="00ec0981"/>
    <w:rPr/>
  </w:style>
  <w:style w:type="character" w:styleId="Style10" w:customStyle="1">
    <w:name w:val="Текст Знак"/>
    <w:basedOn w:val="DefaultParagraphFont"/>
    <w:link w:val="PlainText"/>
    <w:qFormat/>
    <w:rsid w:val="00056adf"/>
    <w:rPr>
      <w:rFonts w:ascii="Courier New" w:hAnsi="Courier New" w:eastAsia="Times New Roman" w:cs="Times New Roman"/>
      <w:sz w:val="20"/>
      <w:szCs w:val="20"/>
    </w:rPr>
  </w:style>
  <w:style w:type="character" w:styleId="Style11" w:customStyle="1">
    <w:name w:val="Основной текст Знак"/>
    <w:basedOn w:val="DefaultParagraphFont"/>
    <w:uiPriority w:val="99"/>
    <w:qFormat/>
    <w:rsid w:val="007a412e"/>
    <w:rPr>
      <w:rFonts w:ascii="Calibri" w:hAnsi="Calibri" w:eastAsia="Calibri" w:cs="Times New Roman"/>
    </w:rPr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7a412e"/>
    <w:rPr>
      <w:rFonts w:ascii="Calibri" w:hAnsi="Calibri" w:eastAsia="Calibri" w:cs="Times New Roman"/>
    </w:rPr>
  </w:style>
  <w:style w:type="character" w:styleId="Style12" w:customStyle="1">
    <w:name w:val="Цветовое выделение"/>
    <w:qFormat/>
    <w:rsid w:val="00672908"/>
    <w:rPr>
      <w:b/>
      <w:bCs/>
      <w:color w:val="000080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4">
    <w:name w:val="Body Text"/>
    <w:basedOn w:val="Normal"/>
    <w:link w:val="Style11"/>
    <w:uiPriority w:val="99"/>
    <w:unhideWhenUsed/>
    <w:rsid w:val="007a412e"/>
    <w:pPr>
      <w:spacing w:lineRule="auto" w:line="240" w:before="0" w:after="120"/>
      <w:jc w:val="both"/>
    </w:pPr>
    <w:rPr>
      <w:rFonts w:ascii="Calibri" w:hAnsi="Calibri" w:eastAsia="Calibri" w:cs="Times New Roman"/>
    </w:rPr>
  </w:style>
  <w:style w:type="paragraph" w:styleId="Style15">
    <w:name w:val="List"/>
    <w:basedOn w:val="Style14"/>
    <w:pPr/>
    <w:rPr>
      <w:rFonts w:cs="Lucida Sans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4c7b79"/>
    <w:pPr>
      <w:widowControl/>
      <w:bidi w:val="0"/>
      <w:spacing w:lineRule="auto" w:line="240" w:before="0" w:after="0"/>
      <w:jc w:val="left"/>
    </w:pPr>
    <w:rPr>
      <w:rFonts w:ascii="Calibri" w:hAnsi="Calibri" w:cs="Calibri" w:eastAsia="Calibri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0e451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Header"/>
    <w:basedOn w:val="Normal"/>
    <w:link w:val="Style8"/>
    <w:uiPriority w:val="99"/>
    <w:unhideWhenUsed/>
    <w:rsid w:val="00ec098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0">
    <w:name w:val="Footer"/>
    <w:basedOn w:val="Normal"/>
    <w:link w:val="Style9"/>
    <w:uiPriority w:val="99"/>
    <w:unhideWhenUsed/>
    <w:rsid w:val="00ec098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360ad3"/>
    <w:pPr>
      <w:spacing w:before="0" w:after="200"/>
      <w:ind w:left="720" w:hanging="0"/>
      <w:contextualSpacing/>
    </w:pPr>
    <w:rPr/>
  </w:style>
  <w:style w:type="paragraph" w:styleId="PlainText">
    <w:name w:val="Plain Text"/>
    <w:basedOn w:val="Normal"/>
    <w:link w:val="Style10"/>
    <w:qFormat/>
    <w:rsid w:val="00056adf"/>
    <w:pPr>
      <w:spacing w:lineRule="auto" w:line="240" w:before="0" w:after="0"/>
    </w:pPr>
    <w:rPr>
      <w:rFonts w:ascii="Courier New" w:hAnsi="Courier New" w:eastAsia="Times New Roman" w:cs="Times New Roman"/>
      <w:sz w:val="20"/>
      <w:szCs w:val="20"/>
    </w:rPr>
  </w:style>
  <w:style w:type="paragraph" w:styleId="BodyText2">
    <w:name w:val="Body Text 2"/>
    <w:basedOn w:val="Normal"/>
    <w:link w:val="22"/>
    <w:uiPriority w:val="99"/>
    <w:unhideWhenUsed/>
    <w:qFormat/>
    <w:rsid w:val="007a412e"/>
    <w:pPr>
      <w:spacing w:lineRule="auto" w:line="480" w:before="0" w:after="120"/>
      <w:jc w:val="both"/>
    </w:pPr>
    <w:rPr>
      <w:rFonts w:ascii="Calibri" w:hAnsi="Calibri" w:eastAsia="Calibri" w:cs="Times New Roman"/>
    </w:rPr>
  </w:style>
  <w:style w:type="paragraph" w:styleId="ConsPlusTitle" w:customStyle="1">
    <w:name w:val="ConsPlusTitle"/>
    <w:uiPriority w:val="99"/>
    <w:qFormat/>
    <w:rsid w:val="003d68b5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bCs/>
      <w:color w:val="auto"/>
      <w:kern w:val="0"/>
      <w:sz w:val="22"/>
      <w:szCs w:val="22"/>
      <w:lang w:eastAsia="ru-RU" w:val="ru-RU" w:bidi="ar-SA"/>
    </w:rPr>
  </w:style>
  <w:style w:type="paragraph" w:styleId="Style21" w:customStyle="1">
    <w:name w:val="обычный_"/>
    <w:basedOn w:val="Normal"/>
    <w:autoRedefine/>
    <w:qFormat/>
    <w:rsid w:val="00082669"/>
    <w:pPr>
      <w:ind w:firstLine="720"/>
    </w:pPr>
    <w:rPr>
      <w:rFonts w:ascii="Times New Roman" w:hAnsi="Times New Roman" w:eastAsia="Calibri" w:cs="Times New Roman"/>
      <w:sz w:val="24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DAC3C-D7A6-49F7-B005-732BC76B8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Application>LibreOffice/7.5.0.3$Windows_X86_64 LibreOffice_project/c21113d003cd3efa8c53188764377a8272d9d6de</Application>
  <AppVersion>15.0000</AppVersion>
  <Pages>3</Pages>
  <Words>611</Words>
  <Characters>4093</Characters>
  <CharactersWithSpaces>4898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2026-05-14T11:53:00Z</dcterms:created>
  <dc:creator>Куслий Т. Ю.</dc:creator>
  <dc:description/>
  <dc:language>ru-RU</dc:language>
  <cp:lastModifiedBy/>
  <cp:lastPrinted>2026-06-15T08:09:00Z</cp:lastPrinted>
  <dcterms:modified xsi:type="dcterms:W3CDTF">2026-06-18T15:11:09Z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